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7DCB" w14:textId="77777777" w:rsidR="00AB700C" w:rsidRDefault="00AB70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47A39E8" w14:textId="77777777" w:rsidR="006379F4" w:rsidRDefault="006379F4">
      <w:pPr>
        <w:spacing w:after="0" w:line="480" w:lineRule="auto"/>
        <w:ind w:left="426" w:right="566"/>
        <w:jc w:val="center"/>
        <w:rPr>
          <w:b/>
          <w:sz w:val="26"/>
          <w:szCs w:val="26"/>
        </w:rPr>
      </w:pPr>
      <w:bookmarkStart w:id="0" w:name="bookmark=id.gjdgxs" w:colFirst="0" w:colLast="0"/>
      <w:bookmarkEnd w:id="0"/>
    </w:p>
    <w:p w14:paraId="27386F63" w14:textId="54738BCB" w:rsidR="00AB700C" w:rsidRDefault="006379F4" w:rsidP="006379F4">
      <w:pPr>
        <w:spacing w:after="0" w:line="480" w:lineRule="auto"/>
        <w:ind w:right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A3683">
        <w:rPr>
          <w:rFonts w:cs="Calibri"/>
          <w:b/>
          <w:sz w:val="26"/>
          <w:szCs w:val="26"/>
        </w:rPr>
        <w:t>Implementasi</w:t>
      </w:r>
      <w:proofErr w:type="spellEnd"/>
      <w:r w:rsidRPr="009A3683">
        <w:rPr>
          <w:rFonts w:cs="Calibri"/>
          <w:b/>
          <w:sz w:val="26"/>
          <w:szCs w:val="26"/>
        </w:rPr>
        <w:t xml:space="preserve"> </w:t>
      </w:r>
      <w:proofErr w:type="spellStart"/>
      <w:r w:rsidRPr="009A3683">
        <w:rPr>
          <w:rFonts w:cs="Calibri"/>
          <w:b/>
          <w:sz w:val="26"/>
          <w:szCs w:val="26"/>
        </w:rPr>
        <w:t>Undang-Undang</w:t>
      </w:r>
      <w:proofErr w:type="spellEnd"/>
      <w:r w:rsidRPr="009A3683">
        <w:rPr>
          <w:rFonts w:cs="Calibri"/>
          <w:b/>
          <w:sz w:val="26"/>
          <w:szCs w:val="26"/>
        </w:rPr>
        <w:t xml:space="preserve"> </w:t>
      </w:r>
      <w:proofErr w:type="spellStart"/>
      <w:r w:rsidRPr="009A3683">
        <w:rPr>
          <w:rFonts w:cs="Calibri"/>
          <w:b/>
          <w:sz w:val="26"/>
          <w:szCs w:val="26"/>
        </w:rPr>
        <w:t>Nomor</w:t>
      </w:r>
      <w:proofErr w:type="spellEnd"/>
      <w:r w:rsidRPr="009A3683">
        <w:rPr>
          <w:rFonts w:cs="Calibri"/>
          <w:b/>
          <w:sz w:val="26"/>
          <w:szCs w:val="26"/>
        </w:rPr>
        <w:t xml:space="preserve"> 30 </w:t>
      </w:r>
      <w:proofErr w:type="spellStart"/>
      <w:r w:rsidRPr="009A3683">
        <w:rPr>
          <w:rFonts w:cs="Calibri"/>
          <w:b/>
          <w:sz w:val="26"/>
          <w:szCs w:val="26"/>
        </w:rPr>
        <w:t>Tahun</w:t>
      </w:r>
      <w:proofErr w:type="spellEnd"/>
      <w:r w:rsidRPr="009A3683">
        <w:rPr>
          <w:rFonts w:cs="Calibri"/>
          <w:b/>
          <w:sz w:val="26"/>
          <w:szCs w:val="26"/>
        </w:rPr>
        <w:t xml:space="preserve"> 1999 </w:t>
      </w:r>
      <w:proofErr w:type="spellStart"/>
      <w:r>
        <w:rPr>
          <w:rFonts w:cs="Calibri"/>
          <w:b/>
          <w:sz w:val="26"/>
          <w:szCs w:val="26"/>
        </w:rPr>
        <w:t>t</w:t>
      </w:r>
      <w:r w:rsidRPr="009A3683">
        <w:rPr>
          <w:rFonts w:cs="Calibri"/>
          <w:b/>
          <w:sz w:val="26"/>
          <w:szCs w:val="26"/>
        </w:rPr>
        <w:t>entang</w:t>
      </w:r>
      <w:proofErr w:type="spellEnd"/>
      <w:r w:rsidRPr="009A3683">
        <w:rPr>
          <w:rFonts w:cs="Calibri"/>
          <w:b/>
          <w:sz w:val="26"/>
          <w:szCs w:val="26"/>
        </w:rPr>
        <w:t xml:space="preserve"> </w:t>
      </w:r>
      <w:proofErr w:type="spellStart"/>
      <w:r w:rsidRPr="009A3683">
        <w:rPr>
          <w:rFonts w:cs="Calibri"/>
          <w:b/>
          <w:sz w:val="26"/>
          <w:szCs w:val="26"/>
        </w:rPr>
        <w:t>Arbitrase</w:t>
      </w:r>
      <w:proofErr w:type="spellEnd"/>
      <w:r w:rsidRPr="009A3683"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>d</w:t>
      </w:r>
      <w:r w:rsidRPr="009A3683">
        <w:rPr>
          <w:rFonts w:cs="Calibri"/>
          <w:b/>
          <w:sz w:val="26"/>
          <w:szCs w:val="26"/>
        </w:rPr>
        <w:t>an A</w:t>
      </w:r>
      <w:r>
        <w:rPr>
          <w:rFonts w:cs="Calibri"/>
          <w:b/>
          <w:sz w:val="26"/>
          <w:szCs w:val="26"/>
        </w:rPr>
        <w:t>DR</w:t>
      </w:r>
    </w:p>
    <w:p w14:paraId="3B15FF95" w14:textId="68C021F7" w:rsidR="00AB700C" w:rsidRDefault="006379F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=id.30j0zll" w:colFirst="0" w:colLast="0"/>
      <w:bookmarkEnd w:id="1"/>
      <w:proofErr w:type="spellStart"/>
      <w:r>
        <w:rPr>
          <w:rFonts w:ascii="Times New Roman" w:eastAsia="Times New Roman" w:hAnsi="Times New Roman" w:cs="Times New Roman"/>
        </w:rPr>
        <w:t>Memmy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Fatiyanti</w:t>
      </w:r>
      <w:proofErr w:type="spellEnd"/>
      <w:r>
        <w:rPr>
          <w:rFonts w:ascii="Times New Roman" w:eastAsia="Times New Roman" w:hAnsi="Times New Roman" w:cs="Times New Roman"/>
        </w:rPr>
        <w:t xml:space="preserve"> Deri </w:t>
      </w:r>
      <w:proofErr w:type="spellStart"/>
      <w:r>
        <w:rPr>
          <w:rFonts w:ascii="Times New Roman" w:eastAsia="Times New Roman" w:hAnsi="Times New Roman" w:cs="Times New Roman"/>
        </w:rPr>
        <w:t>Ramdhany</w:t>
      </w:r>
      <w:proofErr w:type="spellEnd"/>
    </w:p>
    <w:p w14:paraId="19C4C0E8" w14:textId="78055D79" w:rsidR="00AB700C" w:rsidRDefault="007C6995" w:rsidP="006379F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</w:p>
    <w:p w14:paraId="7F89C8DA" w14:textId="25C0FE83" w:rsidR="006379F4" w:rsidRDefault="006379F4" w:rsidP="006379F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Pr="00637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memmyfdr@gmail.com,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ahasiswa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S2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Fakultas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Hukum Universitas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Mataram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Jalan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Majapahit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No. 62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Mataram</w:t>
      </w:r>
      <w:proofErr w:type="spellEnd"/>
    </w:p>
    <w:p w14:paraId="47A298BD" w14:textId="77777777" w:rsidR="00AB700C" w:rsidRDefault="00AB700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CA67B9" w14:textId="16DC7E09" w:rsidR="00AB700C" w:rsidRDefault="00000000">
      <w:pPr>
        <w:spacing w:after="0" w:line="276" w:lineRule="auto"/>
        <w:ind w:left="709" w:right="70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Abstract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bookmarkStart w:id="4" w:name="bookmark=id.2et92p0" w:colFirst="0" w:colLast="0"/>
      <w:bookmarkEnd w:id="4"/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bertujuan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mengetahui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Alternatif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Penyelesaian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Sengketa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(APS)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penyelesaian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sengketa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diluar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pengadilan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sesuai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kesepakatan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para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pihak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dilakukan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cara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konsiliasi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mediasi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negosiasi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penilaian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ahli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. Hal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tertuang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UU No. 30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1999,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sedangkan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terkait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mekanisme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upaya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penyelesaian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alternatif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penyelesaian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sengketa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Jenis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hukum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dilakukan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yuridis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, yang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pendekatan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peraturan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perundang-undang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hasil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menunjukkan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bahwa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implementasi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UU No. 30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1999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terimplementasi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baik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melaksanakan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upaya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penyelesaian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sengketa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, Hasil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dari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permasalahan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kedua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peneliti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sz w:val="18"/>
          <w:szCs w:val="18"/>
        </w:rPr>
        <w:t>menemukan</w:t>
      </w:r>
      <w:proofErr w:type="spellEnd"/>
      <w:r w:rsidR="006379F4" w:rsidRPr="006379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a</w:t>
      </w:r>
      <w:r w:rsidR="006379F4" w:rsidRPr="006379F4">
        <w:rPr>
          <w:rFonts w:ascii="Times New Roman" w:hAnsi="Times New Roman" w:cs="Times New Roman"/>
          <w:bCs/>
          <w:sz w:val="18"/>
          <w:szCs w:val="18"/>
        </w:rPr>
        <w:t>da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beberapa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aturan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yang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dapat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menjadi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dasar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hukum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pemberlakuan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Mediasi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Penal di Indonesia.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Beberapa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peraturan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perundang-undangan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tersebut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dapat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menjadi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rujukan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dalam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membantu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kerja-kerja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penegak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hukum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dalam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menyelesaikan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perkara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pidana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permaafan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yang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ada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di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dalam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masyarakat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Praktek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penyelesaian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perkara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pidana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di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luar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pengadilan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selama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ini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tidak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ada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landasan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hukum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formalnya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(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norma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kosong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).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Sering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terjadi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suatu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kasus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yang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secara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informal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telah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ada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penyelesaian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damai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namun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tetap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saja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diproses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ke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pengadilan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sesuai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hukum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 xml:space="preserve"> yang </w:t>
      </w:r>
      <w:proofErr w:type="spellStart"/>
      <w:r w:rsidR="006379F4" w:rsidRPr="006379F4">
        <w:rPr>
          <w:rFonts w:ascii="Times New Roman" w:hAnsi="Times New Roman" w:cs="Times New Roman"/>
          <w:bCs/>
          <w:sz w:val="18"/>
          <w:szCs w:val="18"/>
        </w:rPr>
        <w:t>berlaku</w:t>
      </w:r>
      <w:proofErr w:type="spellEnd"/>
      <w:r w:rsidR="006379F4" w:rsidRPr="006379F4">
        <w:rPr>
          <w:rFonts w:ascii="Times New Roman" w:hAnsi="Times New Roman" w:cs="Times New Roman"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6F9EE9C" w14:textId="77777777" w:rsidR="00AB700C" w:rsidRDefault="00AB700C">
      <w:pPr>
        <w:spacing w:after="0" w:line="276" w:lineRule="auto"/>
        <w:ind w:left="709" w:right="707"/>
        <w:jc w:val="both"/>
        <w:rPr>
          <w:rFonts w:ascii="Times New Roman" w:eastAsia="Times New Roman" w:hAnsi="Times New Roman" w:cs="Times New Roman"/>
        </w:rPr>
      </w:pPr>
    </w:p>
    <w:p w14:paraId="7D43BEAB" w14:textId="5D8008A5" w:rsidR="00AB700C" w:rsidRDefault="00000000">
      <w:pPr>
        <w:spacing w:after="0" w:line="276" w:lineRule="auto"/>
        <w:ind w:left="709" w:right="70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Keywords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="006379F4">
        <w:rPr>
          <w:rFonts w:ascii="Times New Roman" w:eastAsia="Times New Roman" w:hAnsi="Times New Roman" w:cs="Times New Roman"/>
          <w:sz w:val="18"/>
          <w:szCs w:val="18"/>
        </w:rPr>
        <w:t>Alternatif</w:t>
      </w:r>
      <w:proofErr w:type="spellEnd"/>
      <w:r w:rsidR="00637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6379F4">
        <w:rPr>
          <w:rFonts w:ascii="Times New Roman" w:eastAsia="Times New Roman" w:hAnsi="Times New Roman" w:cs="Times New Roman"/>
          <w:sz w:val="18"/>
          <w:szCs w:val="18"/>
        </w:rPr>
        <w:t>Penyelesaian</w:t>
      </w:r>
      <w:proofErr w:type="spellEnd"/>
      <w:r w:rsidR="00637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6379F4">
        <w:rPr>
          <w:rFonts w:ascii="Times New Roman" w:eastAsia="Times New Roman" w:hAnsi="Times New Roman" w:cs="Times New Roman"/>
          <w:sz w:val="18"/>
          <w:szCs w:val="18"/>
        </w:rPr>
        <w:t>Sengketa</w:t>
      </w:r>
      <w:proofErr w:type="spellEnd"/>
      <w:r w:rsidR="006379F4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="006379F4">
        <w:rPr>
          <w:rFonts w:ascii="Times New Roman" w:eastAsia="Times New Roman" w:hAnsi="Times New Roman" w:cs="Times New Roman"/>
          <w:sz w:val="18"/>
          <w:szCs w:val="18"/>
        </w:rPr>
        <w:t>Mediasi</w:t>
      </w:r>
      <w:proofErr w:type="spellEnd"/>
      <w:r w:rsidR="006379F4">
        <w:rPr>
          <w:rFonts w:ascii="Times New Roman" w:eastAsia="Times New Roman" w:hAnsi="Times New Roman" w:cs="Times New Roman"/>
          <w:sz w:val="18"/>
          <w:szCs w:val="18"/>
        </w:rPr>
        <w:t xml:space="preserve"> Penal</w:t>
      </w:r>
    </w:p>
    <w:p w14:paraId="2AF6AAD2" w14:textId="77777777" w:rsidR="00AB700C" w:rsidRDefault="00AB700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39B91C5A" w14:textId="77777777" w:rsidR="00AB700C" w:rsidRDefault="00AB700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AB700C">
          <w:headerReference w:type="default" r:id="rId9"/>
          <w:footerReference w:type="default" r:id="rId10"/>
          <w:pgSz w:w="11906" w:h="16838"/>
          <w:pgMar w:top="1701" w:right="1416" w:bottom="1701" w:left="1701" w:header="709" w:footer="850" w:gutter="0"/>
          <w:pgNumType w:start="1"/>
          <w:cols w:space="720"/>
        </w:sectPr>
      </w:pPr>
    </w:p>
    <w:p w14:paraId="5360B102" w14:textId="77777777" w:rsidR="008918FD" w:rsidRPr="008918FD" w:rsidRDefault="00000000" w:rsidP="008918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8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Introduction</w:t>
      </w:r>
    </w:p>
    <w:p w14:paraId="40027E3D" w14:textId="47D7D5F1" w:rsidR="006379F4" w:rsidRPr="00931270" w:rsidRDefault="006379F4" w:rsidP="00637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70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benturan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>.</w:t>
      </w:r>
      <w:r w:rsidR="00E21C9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2654-8038","author":[{"dropping-particle":"","family":"Karmawan","given":"Karmawan","non-dropping-particle":"","parse-names":false,"suffix":""}],"container-title":"Kordinat","id":"ITEM-1","issue":"1","issued":{"date-parts":[["2017"]]},"page":"107-126","publisher":"Koordinator Perguruan Tinggi Keagamaan Islam Swasta Wilayah I DKI Jakarta","title":"Diskursus Mediasi dan Upaya Penyelesaiannya","type":"article-journal","volume":"16"},"uris":["http://www.mendeley.com/documents/?uuid=083c979d-026b-46dc-8210-8f699df55b90"]}],"mendeley":{"formattedCitation":"(Karmawan, 2017)","plainTextFormattedCitation":"(Karmawan, 2017)","previouslyFormattedCitation":"(Karmawan, 2017)"},"properties":{"noteIndex":0},"schema":"https://github.com/citation-style-language/schema/raw/master/csl-citation.json"}</w:instrText>
      </w:r>
      <w:r w:rsidR="00E21C95">
        <w:rPr>
          <w:rFonts w:ascii="Times New Roman" w:hAnsi="Times New Roman" w:cs="Times New Roman"/>
          <w:sz w:val="24"/>
          <w:szCs w:val="24"/>
        </w:rPr>
        <w:fldChar w:fldCharType="separate"/>
      </w:r>
      <w:r w:rsidR="00E21C95" w:rsidRPr="00E21C95">
        <w:rPr>
          <w:rFonts w:ascii="Times New Roman" w:hAnsi="Times New Roman" w:cs="Times New Roman"/>
          <w:noProof/>
          <w:sz w:val="24"/>
          <w:szCs w:val="24"/>
        </w:rPr>
        <w:t>(</w:t>
      </w:r>
      <w:proofErr w:type="spellStart"/>
      <w:r w:rsidR="00E21C95" w:rsidRPr="00E21C95">
        <w:rPr>
          <w:rFonts w:ascii="Times New Roman" w:hAnsi="Times New Roman" w:cs="Times New Roman"/>
          <w:noProof/>
          <w:sz w:val="24"/>
          <w:szCs w:val="24"/>
        </w:rPr>
        <w:t>Karmawan</w:t>
      </w:r>
      <w:proofErr w:type="spellEnd"/>
      <w:r w:rsidR="00E21C95" w:rsidRPr="00E21C95">
        <w:rPr>
          <w:rFonts w:ascii="Times New Roman" w:hAnsi="Times New Roman" w:cs="Times New Roman"/>
          <w:noProof/>
          <w:sz w:val="24"/>
          <w:szCs w:val="24"/>
        </w:rPr>
        <w:t>, 2017)</w:t>
      </w:r>
      <w:r w:rsidR="00E21C9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C5F20A2" w14:textId="77777777" w:rsidR="006379F4" w:rsidRPr="00931270" w:rsidRDefault="006379F4" w:rsidP="00637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kebanyakan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dilaksanakan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persidangan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diawali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pengajuan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gugatan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negeri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diakhiri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hakim.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disamping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pula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non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6066A0" w14:textId="29DE4A27" w:rsidR="006379F4" w:rsidRPr="00931270" w:rsidRDefault="006379F4" w:rsidP="00637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lastRenderedPageBreak/>
        <w:t>Apa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non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non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cara-cara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Di Indonesia,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non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macam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yakni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1999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(UU AAPS).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{"citationItems":[{"id":"ITEM-1","itemData":{"author":[{"dropping-particle":"","family":"Arief","given":"Barda Nawawi","non-dropping-particle":"","parse-names":false,"suffix":""}],"container-title":"Pustaka Magister, Semarang","id":"ITEM-1","issued":{"date-parts":[["2012"]]},"title":"Mediasi Penal (Penyelesaian Perkara Pidana diluar Pengadilan)","type":"article-journal"},"uris":["http://www.mendeley.com/documents/?uuid=a728505a-2de3-44db-b738-823844c9ac03"]}],"mendeley":{"formattedCitation":"(Arief, 2012)","plainTextFormattedCitation":"(Arief, 2012)","previouslyFormattedCitation":"(Arief, 2012)"},"properties":{"noteIndex":0},"schema":"https://github.com/citation-style-language/schema/raw/master/csl-citation.json"}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</w:t>
      </w:r>
      <w:proofErr w:type="spellStart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Arief</w:t>
      </w:r>
      <w:proofErr w:type="spellEnd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, 2012)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90066BC" w14:textId="29C7C270" w:rsidR="006379F4" w:rsidRPr="00931270" w:rsidRDefault="006379F4" w:rsidP="00637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bahasa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,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berasal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kata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arbitrare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 </w:t>
      </w:r>
      <w:r w:rsidRPr="00E21C95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E21C95">
        <w:rPr>
          <w:rFonts w:ascii="Times New Roman" w:hAnsi="Times New Roman" w:cs="Times New Roman"/>
          <w:bCs/>
          <w:i/>
          <w:iCs/>
          <w:sz w:val="24"/>
          <w:szCs w:val="24"/>
        </w:rPr>
        <w:t>latin</w:t>
      </w:r>
      <w:proofErr w:type="spellEnd"/>
      <w:r w:rsidRPr="00E21C95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berarti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kekuasaan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kebijaksanaan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sukarela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ketiga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netral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(ad hoc).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Abdul Kadir,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sukarela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seorang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berkualitas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menyelesaikannya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perjanjian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arbiter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final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mengikat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1999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didasarkan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perjanjian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dibuat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tertulis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{"citationItems":[{"id":"ITEM-1","itemData":{"author":[{"dropping-particle":"","family":"Nolan-Haley","given":"Jacqueline M","non-dropping-particle":"","parse-names":false,"suffix":""}],"container-title":"Cardozo J. Conflict Resol.","id":"ITEM-1","issued":{"date-parts":[["2004"]]},"page":"57","publisher":"HeinOnline","title":"The Merger of Law and Mediation: Lessons from Equity Jurisprudence and Roscoe Pound","type":"article-journal","volume":"6"},"uris":["http://www.mendeley.com/documents/?uuid=73323a85-7ac7-4a89-9cbc-ed94a839a286"]}],"mendeley":{"formattedCitation":"(Nolan-Haley, 2004)","plainTextFormattedCitation":"(Nolan-Haley, 2004)","previouslyFormattedCitation":"(Nolan-Haley, 2004)"},"properties":{"noteIndex":0},"schema":"https://github.com/citation-style-language/schema/raw/master/csl-citation.json"}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(Nolan-Haley, 2004)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2EDC9671" w14:textId="77777777" w:rsidR="006379F4" w:rsidRPr="00931270" w:rsidRDefault="006379F4" w:rsidP="00637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terlebih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didahului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kesepakatan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tertulis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menyepakati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mengikat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perselisihan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perselisihan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nyata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menambahkan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klausul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perjanjian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memasukkannya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kkalusul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perjanjian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kesepakatan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akta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kompromis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ditandatangani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disaksikan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Notaris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E9C539" w14:textId="3A6CEC53" w:rsidR="006379F4" w:rsidRPr="00931270" w:rsidRDefault="006379F4" w:rsidP="00637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1999, arbiter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majelis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segera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menjatuhkan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selambat-lambatnya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terhitung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selesainya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pemeriksaan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arbiter. Jika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dijatuhkan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kesalahan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administratif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14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terhitung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dijatuhkan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meminta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koreksi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lastRenderedPageBreak/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(final)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mengikat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dilaksanakan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didaftarkan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arbiter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kuasanya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panitera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negeri.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didaftarkan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negeri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perintah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  <w:r w:rsidR="0055279C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55279C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{"citationItems":[{"id":"ITEM-1","itemData":{"author":[{"dropping-particle":"","family":"Pitlo","given":"SudiknoMertokusumodan A","non-dropping-particle":"","parse-names":false,"suffix":""},{"dropping-particle":"","family":"Mertokusumo","given":"Sudikno","non-dropping-particle":"","parse-names":false,"suffix":""}],"container-title":"Citra Aditya Bakti, Jakarta","id":"ITEM-1","issued":{"date-parts":[["1993"]]},"title":"Bab-Bab Tentang Penemuan Hukum","type":"article-journal"},"uris":["http://www.mendeley.com/documents/?uuid=4b58fc23-ae0d-45ff-86bd-814e4efe007d"]}],"mendeley":{"formattedCitation":"(Pitlo &amp; Mertokusumo, 1993)","plainTextFormattedCitation":"(Pitlo &amp; Mertokusumo, 1993)"},"properties":{"noteIndex":0},"schema":"https://github.com/citation-style-language/schema/raw/master/csl-citation.json"}</w:instrText>
      </w:r>
      <w:r w:rsidR="0055279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5279C" w:rsidRPr="0055279C">
        <w:rPr>
          <w:rFonts w:ascii="Times New Roman" w:hAnsi="Times New Roman" w:cs="Times New Roman"/>
          <w:bCs/>
          <w:noProof/>
          <w:sz w:val="24"/>
          <w:szCs w:val="24"/>
        </w:rPr>
        <w:t>(</w:t>
      </w:r>
      <w:proofErr w:type="spellStart"/>
      <w:r w:rsidR="0055279C" w:rsidRPr="0055279C">
        <w:rPr>
          <w:rFonts w:ascii="Times New Roman" w:hAnsi="Times New Roman" w:cs="Times New Roman"/>
          <w:bCs/>
          <w:noProof/>
          <w:sz w:val="24"/>
          <w:szCs w:val="24"/>
        </w:rPr>
        <w:t>Pitlo</w:t>
      </w:r>
      <w:proofErr w:type="spellEnd"/>
      <w:r w:rsidR="0055279C" w:rsidRPr="0055279C">
        <w:rPr>
          <w:rFonts w:ascii="Times New Roman" w:hAnsi="Times New Roman" w:cs="Times New Roman"/>
          <w:bCs/>
          <w:noProof/>
          <w:sz w:val="24"/>
          <w:szCs w:val="24"/>
        </w:rPr>
        <w:t xml:space="preserve"> &amp; Mertokusumo, 1993)</w:t>
      </w:r>
      <w:r w:rsidR="0055279C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4C0B6C2" w14:textId="723FDA92" w:rsidR="00AB700C" w:rsidRPr="00931270" w:rsidRDefault="006379F4" w:rsidP="006379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Selain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non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 alternative dispute resolution (ADR).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kata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sepakat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konsensus</w:t>
      </w:r>
      <w:proofErr w:type="spellEnd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ataupun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ketuga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netral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1999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1 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10,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prosedur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disepakati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yakni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konsultasi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negosiasi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konsiliasi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ahli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2FEF7D" w14:textId="77777777" w:rsidR="00AB700C" w:rsidRPr="00931270" w:rsidRDefault="00000000" w:rsidP="008918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931270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Literature or conceptual review</w:t>
      </w:r>
    </w:p>
    <w:p w14:paraId="74215E9C" w14:textId="760473BF" w:rsidR="00AB700C" w:rsidRPr="00931270" w:rsidRDefault="001A6A0A" w:rsidP="001A6A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9312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31270"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i/>
          <w:sz w:val="24"/>
          <w:szCs w:val="24"/>
        </w:rPr>
        <w:t xml:space="preserve">(Library Research) </w:t>
      </w:r>
      <w:r w:rsidRPr="0093127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Pemilukada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2024 </w:t>
      </w:r>
      <w:r w:rsidRPr="0093127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E21C9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{"citationItems":[{"id":"ITEM-1","itemData":{"author":[{"dropping-particle":"","family":"Asikin","given":"Amirudin Zainal","non-dropping-particle":"","parse-names":false,"suffix":""}],"container-title":"Jakarta: Raja Grafindo Persada","id":"ITEM-1","issued":{"date-parts":[["2004"]]},"title":"Pengantar metode penelitian hukum","type":"article-journal"},"uris":["http://www.mendeley.com/documents/?uuid=aca8b715-96cb-4b15-ba0f-dbbd31fcf7d1"]}],"mendeley":{"formattedCitation":"(Asikin, 2004)","plainTextFormattedCitation":"(Asikin, 2004)","previouslyFormattedCitation":"(Asikin, 2004)"},"properties":{"noteIndex":0},"schema":"https://github.com/citation-style-language/schema/raw/master/csl-citation.json"}</w:instrText>
      </w:r>
      <w:r w:rsidRPr="00931270">
        <w:rPr>
          <w:rFonts w:ascii="Times New Roman" w:hAnsi="Times New Roman" w:cs="Times New Roman"/>
          <w:sz w:val="24"/>
          <w:szCs w:val="24"/>
        </w:rPr>
        <w:fldChar w:fldCharType="separate"/>
      </w:r>
      <w:r w:rsidR="00E21C95" w:rsidRPr="00E21C95">
        <w:rPr>
          <w:rFonts w:ascii="Times New Roman" w:hAnsi="Times New Roman" w:cs="Times New Roman"/>
          <w:noProof/>
          <w:sz w:val="24"/>
          <w:szCs w:val="24"/>
        </w:rPr>
        <w:t>(Asikin, 2004)</w:t>
      </w:r>
      <w:r w:rsidRPr="00931270">
        <w:rPr>
          <w:rFonts w:ascii="Times New Roman" w:hAnsi="Times New Roman" w:cs="Times New Roman"/>
          <w:sz w:val="24"/>
          <w:szCs w:val="24"/>
        </w:rPr>
        <w:fldChar w:fldCharType="end"/>
      </w:r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melakakukan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r w:rsidRPr="0093127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93127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{"citationItems":[{"id":"ITEM-1","itemData":{"author":[{"dropping-particle":"","family":"Nasution","given":"Bahder Johan","non-dropping-particle":"","parse-names":false,"suffix":""}],"id":"ITEM-1","issued":{"date-parts":[["2008"]]},"publisher":"Bandung: Mandar Maju","title":"Metode penelitian ilmu hukum","type":"article"},"uris":["http://www.mendeley.com/documents/?uuid=356172cd-c3fa-4090-85a4-33fb718ed50c"]}],"mendeley":{"formattedCitation":"(Nasution, 2008)","plainTextFormattedCitation":"(Nasution, 2008)","previouslyFormattedCitation":"(Nasution, 2008)"},"properties":{"noteIndex":0},"schema":"https://github.com/citation-style-language/schema/raw/master/csl-citation.json"}</w:instrText>
      </w:r>
      <w:r w:rsidRPr="00931270">
        <w:rPr>
          <w:rFonts w:ascii="Times New Roman" w:hAnsi="Times New Roman" w:cs="Times New Roman"/>
          <w:sz w:val="24"/>
          <w:szCs w:val="24"/>
        </w:rPr>
        <w:fldChar w:fldCharType="separate"/>
      </w:r>
      <w:r w:rsidRPr="00931270">
        <w:rPr>
          <w:rFonts w:ascii="Times New Roman" w:hAnsi="Times New Roman" w:cs="Times New Roman"/>
          <w:noProof/>
          <w:sz w:val="24"/>
          <w:szCs w:val="24"/>
        </w:rPr>
        <w:t>(Nasution, 2008)</w:t>
      </w:r>
      <w:r w:rsidRPr="0093127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4E1C2D" w14:textId="77777777" w:rsidR="001A6A0A" w:rsidRPr="00931270" w:rsidRDefault="001A6A0A" w:rsidP="001A6A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F378EAB" w14:textId="77777777" w:rsidR="00AB700C" w:rsidRPr="00931270" w:rsidRDefault="00000000" w:rsidP="008918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1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design</w:t>
      </w:r>
    </w:p>
    <w:p w14:paraId="099DEAFE" w14:textId="41693506" w:rsidR="001A6A0A" w:rsidRPr="00931270" w:rsidRDefault="001A6A0A" w:rsidP="008918FD">
      <w:pPr>
        <w:pStyle w:val="ListParagraph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eading=h.4d34og8" w:colFirst="0" w:colLast="0"/>
      <w:bookmarkEnd w:id="5"/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Implementasi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1999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Hukum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</w:p>
    <w:p w14:paraId="60789922" w14:textId="61247FA0" w:rsidR="008918FD" w:rsidRPr="00931270" w:rsidRDefault="001A6A0A" w:rsidP="001A6A0A">
      <w:pPr>
        <w:pStyle w:val="ListParagraph"/>
        <w:numPr>
          <w:ilvl w:val="1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30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1999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Arbitrase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Hukum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</w:p>
    <w:p w14:paraId="30A187E7" w14:textId="3D7B23C8" w:rsidR="001A6A0A" w:rsidRPr="00931270" w:rsidRDefault="001A6A0A" w:rsidP="001A6A0A">
      <w:pPr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Ditinjau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penuntutan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dan/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pengurusnya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berarti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perkara-perkara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dipergunakan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represif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lastRenderedPageBreak/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melahirkan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retributif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berorientasi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pemidanaan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pemenjaraan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tahap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ultimum</w:t>
      </w:r>
      <w:proofErr w:type="spellEnd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remidium</w:t>
      </w:r>
      <w:proofErr w:type="spellEnd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bukannya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premium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remedium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{"citationItems":[{"id":"ITEM-1","itemData":{"ISBN":"9790077440","author":[{"dropping-particle":"","family":"Hamzah","given":"Andi","non-dropping-particle":"","parse-names":false,"suffix":""}],"id":"ITEM-1","issued":{"date-parts":[["2017"]]},"publisher":"Sinar Grafika","title":"Hukum Pidana Indonesia","type":"book"},"uris":["http://www.mendeley.com/documents/?uuid=1c85506f-76e6-44be-865a-436dda11b41c"]}],"mendeley":{"formattedCitation":"(Hamzah, 2017)","plainTextFormattedCitation":"(Hamzah, 2017)","previouslyFormattedCitation":"(Hamzah, 2017)"},"properties":{"noteIndex":0},"schema":"https://github.com/citation-style-language/schema/raw/master/csl-citation.json"}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(Hamzah, 2017)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72AADC4F" w14:textId="316ECB6A" w:rsidR="001A6A0A" w:rsidRPr="00931270" w:rsidRDefault="001A6A0A" w:rsidP="001A6A0A">
      <w:pPr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restorative justice.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(APS)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ranah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dikenal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(penal mediation).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55279C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{"citationItems":[{"id":"ITEM-1","itemData":{"author":[{"dropping-particle":"","family":"Sternlight","given":"Jean R","non-dropping-particle":"","parse-names":false,"suffix":""}],"container-title":"DePaul L. Rev.","id":"ITEM-1","issued":{"date-parts":[["2006"]]},"page":"569","publisher":"HeinOnline","title":"Is Alternative Dispute Resolution Consistent with the Rule of Law-Lessons from Abroad","type":"article-journal","volume":"56"},"uris":["http://www.mendeley.com/documents/?uuid=60a67110-ffcc-4764-8ea2-dfe10bb97a96"]}],"mendeley":{"formattedCitation":"(Sternlight, 2006)","plainTextFormattedCitation":"(Sternlight, 2006)","previouslyFormattedCitation":"(Sternlight, 2006)"},"properties":{"noteIndex":0},"schema":"https://github.com/citation-style-language/schema/raw/master/csl-citation.json"}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(Sternlight, 2006)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2AF7E65B" w14:textId="78CB057B" w:rsidR="001A6A0A" w:rsidRPr="00931270" w:rsidRDefault="001A6A0A" w:rsidP="001A6A0A">
      <w:pPr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berlandaskan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restoratif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dijalankan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{"citationItems":[{"id":"ITEM-1","itemData":{"URL":"https://indonesiare.co.id/id/article/ultimum-remedium-dan-primum-remedium-dalam-sistem-hukum-pidana-indonesia","accessed":{"date-parts":[["2022","3","21"]]},"author":[{"dropping-particle":"","family":"Sitorus","given":"Arthur Daniel P.","non-dropping-particle":"","parse-names":false,"suffix":""}],"container-title":"Indonesia Re","id":"ITEM-1","issued":{"date-parts":[["2019"]]},"title":"Ultimum Remedium dan Primum Remedium Dalam Sistem Hukum Pidana Indonesia","type":"webpage"},"uris":["http://www.mendeley.com/documents/?uuid=331acdb4-5bbf-4f59-ab1c-b57046bfa87f"]}],"mendeley":{"formattedCitation":"(Sitorus, 2019)","plainTextFormattedCitation":"(Sitorus, 2019)","previouslyFormattedCitation":"(Sitorus, 2019)"},"properties":{"noteIndex":0},"schema":"https://github.com/citation-style-language/schema/raw/master/csl-citation.json"}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(Sitorus, 2019)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14A13FA9" w14:textId="446D4A87" w:rsidR="008918FD" w:rsidRPr="00931270" w:rsidRDefault="001A6A0A" w:rsidP="001A6A0A">
      <w:pPr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270">
        <w:rPr>
          <w:rFonts w:ascii="Times New Roman" w:hAnsi="Times New Roman" w:cs="Times New Roman"/>
          <w:bCs/>
          <w:sz w:val="24"/>
          <w:szCs w:val="24"/>
        </w:rPr>
        <w:t xml:space="preserve">Dasar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restoratif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pencegahan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preventif</w:t>
      </w:r>
      <w:proofErr w:type="spellEnd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perlindungan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Implementasi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restorative justice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sesungguhnya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korban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solusi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adil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(win-win solution)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Hendaknya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segera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merumuskan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aturan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spesifik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mengatur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restoratif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dirasa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cukup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dipergunakan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{"citationItems":[{"id":"ITEM-1","itemData":{"author":[{"dropping-particle":"","family":"Artadi","given":"I Ketut","non-dropping-particle":"","parse-names":false,"suffix":""},{"dropping-particle":"","family":"Putra","given":"Dewa Nyoman Rai Asmara","non-dropping-particle":"","parse-names":false,"suffix":""}],"container-title":"Denpasar: Fakultas Hukum Universitas Udayana, hlm","id":"ITEM-1","issued":{"date-parts":[["2009"]]},"title":"Pengantar Umum Tentang Alternatif Penyelesaian Sengketa dan Perancangan Kontrak","type":"article-journal","volume":"12"},"uris":["http://www.mendeley.com/documents/?uuid=652930cc-df99-4d42-92ae-cc7f392e0b27"]}],"mendeley":{"formattedCitation":"(Artadi &amp; Putra, 2009)","plainTextFormattedCitation":"(Artadi &amp; Putra, 2009)","previouslyFormattedCitation":"(Artadi &amp; Putra, 2009)"},"properties":{"noteIndex":0},"schema":"https://github.com/citation-style-language/schema/raw/master/csl-citation.json"}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</w:t>
      </w:r>
      <w:proofErr w:type="spellStart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Artadi</w:t>
      </w:r>
      <w:proofErr w:type="spellEnd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 xml:space="preserve"> &amp; Putra, 2009)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7D497B7" w14:textId="77777777" w:rsidR="001A6A0A" w:rsidRPr="00931270" w:rsidRDefault="001A6A0A" w:rsidP="001A6A0A">
      <w:pPr>
        <w:pStyle w:val="ListParagraph"/>
        <w:numPr>
          <w:ilvl w:val="1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931270">
        <w:rPr>
          <w:rFonts w:ascii="Times New Roman" w:hAnsi="Times New Roman" w:cs="Times New Roman"/>
          <w:b/>
          <w:bCs/>
          <w:sz w:val="24"/>
          <w:szCs w:val="24"/>
        </w:rPr>
        <w:t xml:space="preserve"> Hukum </w:t>
      </w:r>
      <w:proofErr w:type="spellStart"/>
      <w:r w:rsidRPr="00931270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</w:p>
    <w:p w14:paraId="2008C03F" w14:textId="4F3BE581" w:rsidR="001A6A0A" w:rsidRPr="00931270" w:rsidRDefault="001A6A0A" w:rsidP="001A6A0A">
      <w:pPr>
        <w:pStyle w:val="ListParagraph"/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perkembangannya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dikenal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restoratif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berorientasi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(win-win solution).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{"citationItems":[{"id":"ITEM-1","itemData":{"author":[{"dropping-particle":"","family":"Wahid","given":"Eriyantouw","non-dropping-particle":"","parse-names":false,"suffix":""}],"container-title":"BUKU DOSEN-2009","id":"ITEM-1","issued":{"date-parts":[["2010"]]},"publisher":"Universitas Trisakti","title":"Keadilan restoratif dan peradilan konvensional dalam hukum pidana","type":"article-journal"},"uris":["http://www.mendeley.com/documents/?uuid=e1ebe0e7-496c-4809-a398-1c5e540e972f"]}],"mendeley":{"formattedCitation":"(Wahid, 2010)","plainTextFormattedCitation":"(Wahid, 2010)","previouslyFormattedCitation":"(Wahid, 2010)"},"properties":{"noteIndex":0},"schema":"https://github.com/citation-style-language/schema/raw/master/csl-citation.json"}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(Wahid, 2010)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FB03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tahap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ultimum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remidium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bukannya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premium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remedium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restorative justice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Restorative justice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berhubungan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bersama-sama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memecahkan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lastRenderedPageBreak/>
        <w:t>menangani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implikasinya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dimasa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depan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kaitannya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mewakili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satunya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{"citationItems":[{"id":"ITEM-1","itemData":{"author":[{"dropping-particle":"","family":"Raharjo","given":"Handri","non-dropping-particle":"","parse-names":false,"suffix":""}],"container-title":"Ketentuan-Ketentuan Hukum Indonesia dan Hubungannya dengan Hukum Internasional, Pustaka Yustisia, Yogyakarta","id":"ITEM-1","issued":{"date-parts":[["2016"]]},"title":"Sistem Hukum Indonesia","type":"article-journal"},"uris":["http://www.mendeley.com/documents/?uuid=362185b1-c57e-46f3-9b9b-9cfdd8437ef3"]}],"mendeley":{"formattedCitation":"(Raharjo, 2016)","plainTextFormattedCitation":"(Raharjo, 2016)","previouslyFormattedCitation":"(Raharjo, 2016)"},"properties":{"noteIndex":0},"schema":"https://github.com/citation-style-language/schema/raw/master/csl-citation.json"}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</w:t>
      </w:r>
      <w:proofErr w:type="spellStart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Raharjo</w:t>
      </w:r>
      <w:proofErr w:type="spellEnd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, 2016)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49E15682" w14:textId="40C80560" w:rsidR="001A6A0A" w:rsidRPr="00931270" w:rsidRDefault="001A6A0A" w:rsidP="001A6A0A">
      <w:pPr>
        <w:pStyle w:val="ListParagraph"/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(APS)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perkembangannya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dikenal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ranah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r w:rsidR="00931270"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(Penal </w:t>
      </w:r>
      <w:r w:rsidR="00FB0323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="00931270"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f Mediation)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323">
        <w:rPr>
          <w:rFonts w:ascii="Times New Roman" w:hAnsi="Times New Roman" w:cs="Times New Roman"/>
          <w:bCs/>
          <w:i/>
          <w:iCs/>
          <w:sz w:val="24"/>
          <w:szCs w:val="24"/>
        </w:rPr>
        <w:t>non</w:t>
      </w:r>
      <w:r w:rsidRPr="0093127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ketiga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netral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pengambil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mediator.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Tujuannya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kesepakatan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dikalahkan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{"citationItems":[{"id":"ITEM-1","itemData":{"ISSN":"2477-8036","author":[{"dropping-particle":"","family":"Sururie","given":"Ramdani Wahyu","non-dropping-particle":"","parse-names":false,"suffix":""}],"container-title":"Ijtihad: Jurnal Wacana Hukum Islam dan Kemanusiaan","id":"ITEM-1","issue":"2","issued":{"date-parts":[["2012"]]},"page":"145-164","title":"Implementasi mediasi dalam sistem peradilan agama","type":"article-journal","volume":"12"},"uris":["http://www.mendeley.com/documents/?uuid=1529e78b-6501-46e2-a69f-f3a83c94ed1d"]}],"mendeley":{"formattedCitation":"(Sururie, 2012)","plainTextFormattedCitation":"(Sururie, 2012)","previouslyFormattedCitation":"(Sururie, 2012)"},"properties":{"noteIndex":0},"schema":"https://github.com/citation-style-language/schema/raw/master/csl-citation.json"}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</w:t>
      </w:r>
      <w:proofErr w:type="spellStart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Sururie</w:t>
      </w:r>
      <w:proofErr w:type="spellEnd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, 2012)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FB0323"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42C5E1" w14:textId="4BEBB37B" w:rsidR="001A6A0A" w:rsidRPr="00931270" w:rsidRDefault="001A6A0A" w:rsidP="001A6A0A">
      <w:pPr>
        <w:pStyle w:val="ListParagraph"/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prinsipnya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praktek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sebenarnya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dijalankan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Negara-negara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menerapkan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Austria,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Jerman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Belgia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Perancis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Polandia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Slovenia, Canada, Amerika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Norwegia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Denmark, dan Finlandia.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Penal.</w:t>
      </w:r>
      <w:r w:rsidR="00FB03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ISSN":"2615-5540","author":[{"dropping-particle":"","family":"Jafar","given":"Kamaruddin","non-dropping-particle":"","parse-names":false,"suffix":""}],"container-title":"Al-'Adl","id":"ITEM-1","issue":"2","issued":{"date-parts":[["2015"]]},"page":"81-101","title":"Restorative Justice Atas Diversi Dalam Penanganan Juvenile Deliquency (Anak Berkonflik Hukum)","type":"article-journal","volume":"8"},"uris":["http://www.mendeley.com/documents/?uuid=01a7c62d-3b8e-4030-87da-6961dd548641"]}],"mendeley":{"formattedCitation":"(Jafar, 2015)","plainTextFormattedCitation":"(Jafar, 2015)","previouslyFormattedCitation":"(Jafar, 2015)"},"properties":{"noteIndex":0},"schema":"https://github.com/citation-style-language/schema/raw/master/csl-citation.json"}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(Jafar, 2015)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33E8DF8B" w14:textId="4A4A0230" w:rsidR="001A6A0A" w:rsidRPr="00931270" w:rsidRDefault="001A6A0A" w:rsidP="001A6A0A">
      <w:pPr>
        <w:pStyle w:val="ListParagraph"/>
        <w:spacing w:line="360" w:lineRule="auto"/>
        <w:ind w:left="99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diskresi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aparat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musyawarah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perdamaian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permaafan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Praktek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formalnya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norma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kosong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informal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damai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diproses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13EC6C" w14:textId="73C0592D" w:rsidR="008918FD" w:rsidRPr="00931270" w:rsidRDefault="001A6A0A" w:rsidP="008918FD">
      <w:pPr>
        <w:pStyle w:val="ListParagraph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Dampak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Hukum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lahirnya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Perkap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8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2021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Penanganan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Tindak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Restoratif</w:t>
      </w:r>
      <w:proofErr w:type="spellEnd"/>
    </w:p>
    <w:p w14:paraId="177E4ECD" w14:textId="631C1202" w:rsidR="001A6A0A" w:rsidRPr="00931270" w:rsidRDefault="001A6A0A" w:rsidP="001A6A0A">
      <w:pPr>
        <w:pStyle w:val="ListParagraph"/>
        <w:spacing w:line="360" w:lineRule="auto"/>
        <w:ind w:left="567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restorative justice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korban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mereparasi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membetulkan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dirusak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konfrensi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korban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mempertemukan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tokoh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lastRenderedPageBreak/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(Alternative Dispute Resolution)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populer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kasus-kasus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berarti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diterapkan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aturan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pemberlakuan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 di Indonesia.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rujukan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kerja-kerja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diantaranya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: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{"citationItems":[{"id":"ITEM-1","itemData":{"ISSN":"2580-8508","author":[{"dropping-particle":"","family":"Manihuruk","given":"Tri Novita Sari","non-dropping-particle":"","parse-names":false,"suffix":""},{"dropping-particle":"","family":"Rochaeti","given":"Nur","non-dropping-particle":"","parse-names":false,"suffix":""}],"container-title":"Law Reform","id":"ITEM-1","issue":"1","issued":{"date-parts":[["2016"]]},"page":"121-131","publisher":"PROGRAM STUDI MAGISTER ILMU HUKUM FAKULTAS HUKUM UNIVERSITAS DIPONEGORO SEMARANG","title":"Perlindungan Hak Anak Korban Phedofilia Dalam Sistem Peradilan Pidana Anak (Studi Tentang Penanganan Kasus Kejahatan Seksual Terhadap Anak Di Polrestabes Semarang","type":"article-journal","volume":"12"},"uris":["http://www.mendeley.com/documents/?uuid=fb7009bb-90ec-49d9-8b4e-9947acddeea3"]}],"mendeley":{"formattedCitation":"(Manihuruk &amp; Rochaeti, 2016)","plainTextFormattedCitation":"(Manihuruk &amp; Rochaeti, 2016)","previouslyFormattedCitation":"(Manihuruk &amp; Rochaeti, 2016)"},"properties":{"noteIndex":0},"schema":"https://github.com/citation-style-language/schema/raw/master/csl-citation.json"}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(</w:t>
      </w:r>
      <w:proofErr w:type="spellStart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>Manihuruk</w:t>
      </w:r>
      <w:proofErr w:type="spellEnd"/>
      <w:r w:rsidR="00FB0323" w:rsidRPr="00FB0323">
        <w:rPr>
          <w:rFonts w:ascii="Times New Roman" w:hAnsi="Times New Roman" w:cs="Times New Roman"/>
          <w:bCs/>
          <w:noProof/>
          <w:sz w:val="24"/>
          <w:szCs w:val="24"/>
        </w:rPr>
        <w:t xml:space="preserve"> &amp; Rochaeti, 2016)</w:t>
      </w:r>
      <w:r w:rsidR="00FB0323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5C905C7E" w14:textId="4E4BF197" w:rsidR="001A6A0A" w:rsidRPr="00931270" w:rsidRDefault="001A6A0A" w:rsidP="001A6A0A">
      <w:pPr>
        <w:pStyle w:val="ListParagraph"/>
        <w:numPr>
          <w:ilvl w:val="0"/>
          <w:numId w:val="9"/>
        </w:numPr>
        <w:spacing w:after="20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270">
        <w:rPr>
          <w:rFonts w:ascii="Times New Roman" w:hAnsi="Times New Roman" w:cs="Times New Roman"/>
          <w:bCs/>
          <w:sz w:val="24"/>
          <w:szCs w:val="24"/>
        </w:rPr>
        <w:t xml:space="preserve">Surat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Indonesia No. Pol: B/3022/XXI/2009/SDEOPS,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tanggal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14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2009,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Perihal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Penanganan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Alternative Dispute Resolution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/ ADR. Surat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rujukan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perkara-perkara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Ringan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: 205, 302, 315,351, 352, 362, 373, 378, 379, 384, 407, 482,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efektif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tahapan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penyidikan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penyeledikan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point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penekanan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Surat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lain : a)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mengupayakan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penanganan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kerugian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materi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diarahkan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ADR; b)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ADR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disepakati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pihak-pihak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tercapai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kesepakatan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prosedur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profesional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proporsional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; c)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ADR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berprinsip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musyawarah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mufakat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; d)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ADR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menghormati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norma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azas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; dan e )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ADR agar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disentuh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lain.</w:t>
      </w:r>
    </w:p>
    <w:p w14:paraId="72E3C66F" w14:textId="481E3E09" w:rsidR="008918FD" w:rsidRPr="00931270" w:rsidRDefault="001A6A0A" w:rsidP="001A6A0A">
      <w:pPr>
        <w:pStyle w:val="ListParagraph"/>
        <w:numPr>
          <w:ilvl w:val="0"/>
          <w:numId w:val="9"/>
        </w:numPr>
        <w:spacing w:after="20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Delik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diancam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”.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82 KUHP,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kewenangan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menuntut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delik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hapus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Terdakwa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membayar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maksimum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delik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biaya-biaya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dikeluarkan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kalau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penuntutan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82 KUHP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dikenal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istilah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proofErr w:type="spellStart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afkoop</w:t>
      </w:r>
      <w:proofErr w:type="spellEnd"/>
      <w:r w:rsidRPr="00931270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damai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”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alasan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penghapus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penuntutan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409313" w14:textId="4F55D2C6" w:rsidR="008918FD" w:rsidRPr="00931270" w:rsidRDefault="001A6A0A" w:rsidP="008918FD">
      <w:pPr>
        <w:pStyle w:val="ListParagraph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39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1999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Hak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Asasi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Manusia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7F817A" w14:textId="1BF12133" w:rsidR="00AB700C" w:rsidRPr="00931270" w:rsidRDefault="001A6A0A" w:rsidP="001A6A0A">
      <w:pPr>
        <w:spacing w:after="0" w:line="360" w:lineRule="auto"/>
        <w:ind w:left="567" w:firstLine="5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Komnas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HAM (yang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berdasar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Kepres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50/1993)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HAM (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: 1 </w:t>
      </w:r>
      <w:r w:rsidRPr="00931270">
        <w:rPr>
          <w:rFonts w:ascii="Times New Roman" w:hAnsi="Times New Roman" w:cs="Times New Roman"/>
          <w:sz w:val="24"/>
          <w:szCs w:val="24"/>
        </w:rPr>
        <w:lastRenderedPageBreak/>
        <w:t xml:space="preserve">ke-7;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76:1;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89:4;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96 UU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Pengadilam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HAM).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kemanfaatan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oportunitas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mengenyampingkan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bukti-buktinya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demi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i/>
          <w:iCs/>
          <w:sz w:val="24"/>
          <w:szCs w:val="24"/>
        </w:rPr>
        <w:t>Asas</w:t>
      </w:r>
      <w:proofErr w:type="spellEnd"/>
      <w:r w:rsidRPr="009312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i/>
          <w:iCs/>
          <w:sz w:val="24"/>
          <w:szCs w:val="24"/>
        </w:rPr>
        <w:t>oportunitas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padal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mengesampingkan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i/>
          <w:iCs/>
          <w:sz w:val="24"/>
          <w:szCs w:val="24"/>
        </w:rPr>
        <w:t>seponering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memaafkan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>.</w:t>
      </w:r>
      <w:r w:rsidR="00FB0323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{"citationItems":[{"id":"ITEM-1","itemData":{"ISSN":"2620-4959","author":[{"dropping-particle":"","family":"Indraputra","given":"Tjokorda Gde","non-dropping-particle":"","parse-names":false,"suffix":""},{"dropping-particle":"","family":"Arsawati","given":"Ni Nyoman Juwita","non-dropping-particle":"","parse-names":false,"suffix":""}],"container-title":"Jurnal Analisis Hukum","id":"ITEM-1","issue":"1","issued":{"date-parts":[["2019"]]},"page":"93-113","title":"Penyelesaian Tindak Pidana di Bidang Perlindungan Konsumen dengan Menggunakan Pendekatan Nilai-Nilai Keadilan Restoratif (Dengan Mekanisme Mediasi Penal)","type":"article-journal","volume":"2"},"uris":["http://www.mendeley.com/documents/?uuid=60b613ca-e952-4eb1-b0ef-d7aee6d917f4"]}],"mendeley":{"formattedCitation":"(Indraputra &amp; Arsawati, 2019)","plainTextFormattedCitation":"(Indraputra &amp; Arsawati, 2019)","previouslyFormattedCitation":"(Indraputra &amp; Arsawati, 2019)"},"properties":{"noteIndex":0},"schema":"https://github.com/citation-style-language/schema/raw/master/csl-citation.json"}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noProof/>
          <w:sz w:val="24"/>
          <w:szCs w:val="24"/>
        </w:rPr>
        <w:t>(</w:t>
      </w:r>
      <w:proofErr w:type="spellStart"/>
      <w:r w:rsidR="00FB0323" w:rsidRPr="00FB0323">
        <w:rPr>
          <w:rFonts w:ascii="Times New Roman" w:hAnsi="Times New Roman" w:cs="Times New Roman"/>
          <w:noProof/>
          <w:sz w:val="24"/>
          <w:szCs w:val="24"/>
        </w:rPr>
        <w:t>Indraputra</w:t>
      </w:r>
      <w:proofErr w:type="spellEnd"/>
      <w:r w:rsidR="00FB0323" w:rsidRPr="00FB0323">
        <w:rPr>
          <w:rFonts w:ascii="Times New Roman" w:hAnsi="Times New Roman" w:cs="Times New Roman"/>
          <w:noProof/>
          <w:sz w:val="24"/>
          <w:szCs w:val="24"/>
        </w:rPr>
        <w:t xml:space="preserve"> &amp; Arsawati, 2019)</w:t>
      </w:r>
      <w:r w:rsidR="00FB032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AA16306" w14:textId="04AD3585" w:rsidR="001A6A0A" w:rsidRPr="00931270" w:rsidRDefault="001A6A0A" w:rsidP="001A6A0A">
      <w:pPr>
        <w:pStyle w:val="ListParagraph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270">
        <w:rPr>
          <w:rFonts w:ascii="Times New Roman" w:hAnsi="Times New Roman" w:cs="Times New Roman"/>
          <w:b/>
          <w:sz w:val="24"/>
          <w:szCs w:val="24"/>
        </w:rPr>
        <w:t xml:space="preserve">Proses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Implementasi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Restoratif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Upaya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Tindak</w:t>
      </w:r>
      <w:proofErr w:type="spellEnd"/>
      <w:r w:rsidRPr="009312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/>
          <w:sz w:val="24"/>
          <w:szCs w:val="24"/>
        </w:rPr>
        <w:t>Pidana</w:t>
      </w:r>
      <w:proofErr w:type="spellEnd"/>
    </w:p>
    <w:p w14:paraId="1D1D1109" w14:textId="7D582638" w:rsidR="001A6A0A" w:rsidRPr="00931270" w:rsidRDefault="001A6A0A" w:rsidP="001A6A0A">
      <w:pPr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ultimum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remedium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litigasi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r w:rsidR="00FB0323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{"citationItems":[{"id":"ITEM-1","itemData":{"author":[{"dropping-particle":"","family":"Nolan-Haley","given":"Jacqueline M","non-dropping-particle":"","parse-names":false,"suffix":""}],"container-title":"Cardozo J. Conflict Resol.","id":"ITEM-1","issued":{"date-parts":[["2004"]]},"page":"57","publisher":"HeinOnline","title":"The Merger of Law and Mediation: Lessons from Equity Jurisprudence and Roscoe Pound","type":"article-journal","volume":"6"},"uris":["http://www.mendeley.com/documents/?uuid=73323a85-7ac7-4a89-9cbc-ed94a839a286"]}],"mendeley":{"formattedCitation":"(Nolan-Haley, 2004)","plainTextFormattedCitation":"(Nolan-Haley, 2004)","previouslyFormattedCitation":"(Nolan-Haley, 2004)"},"properties":{"noteIndex":0},"schema":"https://github.com/citation-style-language/schema/raw/master/csl-citation.json"}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noProof/>
          <w:sz w:val="24"/>
          <w:szCs w:val="24"/>
        </w:rPr>
        <w:t>(Nolan-Haley, 2004)</w:t>
      </w:r>
      <w:r w:rsidR="00FB032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EAE8B8" w14:textId="4797601B" w:rsidR="001A6A0A" w:rsidRPr="00931270" w:rsidRDefault="001A6A0A" w:rsidP="001A6A0A">
      <w:pPr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retorative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justice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r w:rsidR="00931270" w:rsidRPr="00931270">
        <w:rPr>
          <w:rFonts w:ascii="Times New Roman" w:hAnsi="Times New Roman" w:cs="Times New Roman"/>
          <w:i/>
          <w:iCs/>
          <w:sz w:val="24"/>
          <w:szCs w:val="24"/>
        </w:rPr>
        <w:t>Restorative Justice</w:t>
      </w:r>
      <w:r w:rsidR="00931270"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tengah-tengah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formalnya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1270">
        <w:rPr>
          <w:rFonts w:ascii="Times New Roman" w:hAnsi="Times New Roman" w:cs="Times New Roman"/>
          <w:sz w:val="24"/>
          <w:szCs w:val="24"/>
        </w:rPr>
        <w:t>pengadilan.menganut</w:t>
      </w:r>
      <w:proofErr w:type="spellEnd"/>
      <w:proofErr w:type="gram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sz w:val="24"/>
          <w:szCs w:val="24"/>
        </w:rPr>
        <w:t xml:space="preserve"> KUHP.</w:t>
      </w:r>
      <w:r w:rsidR="00FB0323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B0323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{"citationItems":[{"id":"ITEM-1","itemData":{"author":[{"dropping-particle":"","family":"Hoy","given":"Bridget Genteman","non-dropping-particle":"","parse-names":false,"suffix":""}],"container-title":". Louis ULJ","id":"ITEM-1","issued":{"date-parts":[["2000"]]},"page":"1121","publisher":"HeinOnline","title":"The Draft Uniform Mediation Act in Context: Can It Clear up the Clutter","type":"article-journal","volume":"44"},"uris":["http://www.mendeley.com/documents/?uuid=4cf7f332-5aa9-453a-9d4b-aeb526957194"]}],"mendeley":{"formattedCitation":"(Hoy, 2000)","plainTextFormattedCitation":"(Hoy, 2000)","previouslyFormattedCitation":"(Hoy, 2000)"},"properties":{"noteIndex":0},"schema":"https://github.com/citation-style-language/schema/raw/master/csl-citation.json"}</w:instrText>
      </w:r>
      <w:r w:rsidR="00FB0323">
        <w:rPr>
          <w:rFonts w:ascii="Times New Roman" w:hAnsi="Times New Roman" w:cs="Times New Roman"/>
          <w:sz w:val="24"/>
          <w:szCs w:val="24"/>
        </w:rPr>
        <w:fldChar w:fldCharType="separate"/>
      </w:r>
      <w:r w:rsidR="00FB0323" w:rsidRPr="00FB0323">
        <w:rPr>
          <w:rFonts w:ascii="Times New Roman" w:hAnsi="Times New Roman" w:cs="Times New Roman"/>
          <w:noProof/>
          <w:sz w:val="24"/>
          <w:szCs w:val="24"/>
        </w:rPr>
        <w:t>(Hoy, 2000)</w:t>
      </w:r>
      <w:r w:rsidR="00FB032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896E190" w14:textId="77777777" w:rsidR="00AB700C" w:rsidRPr="00931270" w:rsidRDefault="00000000" w:rsidP="00891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1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Results</w:t>
      </w:r>
    </w:p>
    <w:p w14:paraId="2FDBBAA3" w14:textId="77777777" w:rsidR="008918FD" w:rsidRPr="00931270" w:rsidRDefault="008918FD" w:rsidP="008918FD">
      <w:pPr>
        <w:pStyle w:val="ListParagraph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bookmark=id.2s8eyo1" w:colFirst="0" w:colLast="0"/>
      <w:bookmarkEnd w:id="6"/>
      <w:r w:rsidRPr="00931270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14:paraId="066A8FCC" w14:textId="77777777" w:rsidR="00931270" w:rsidRPr="00931270" w:rsidRDefault="001A6A0A" w:rsidP="00931270">
      <w:pPr>
        <w:spacing w:line="360" w:lineRule="auto"/>
        <w:ind w:left="567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dijalankan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22CC56B" w14:textId="77777777" w:rsidR="00931270" w:rsidRPr="00931270" w:rsidRDefault="001A6A0A" w:rsidP="00931270">
      <w:pPr>
        <w:spacing w:line="360" w:lineRule="auto"/>
        <w:ind w:left="567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Dasar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nilai-nilai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keadilan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restoratif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langsung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hukum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pencegahan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270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931270">
        <w:rPr>
          <w:rFonts w:ascii="Times New Roman" w:eastAsia="Calibri" w:hAnsi="Times New Roman" w:cs="Times New Roman"/>
          <w:i/>
          <w:iCs/>
          <w:sz w:val="24"/>
          <w:szCs w:val="24"/>
        </w:rPr>
        <w:t>preventif</w:t>
      </w:r>
      <w:proofErr w:type="spellEnd"/>
      <w:r w:rsidRPr="00931270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perlindungan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Implementasi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konsep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restorative justice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penyelesaian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tindak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pidana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mekanisme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mediasi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penal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sesungguhnya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keadilan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pelaku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korban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mendapatkan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solusi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adil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270">
        <w:rPr>
          <w:rFonts w:ascii="Times New Roman" w:eastAsia="Calibri" w:hAnsi="Times New Roman" w:cs="Times New Roman"/>
          <w:i/>
          <w:iCs/>
          <w:sz w:val="24"/>
          <w:szCs w:val="24"/>
        </w:rPr>
        <w:t>(win-win solution)</w:t>
      </w:r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sebagaimana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diatur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Undang-undang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Nomor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30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1999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1270">
        <w:rPr>
          <w:rFonts w:ascii="Times New Roman" w:eastAsia="Calibri" w:hAnsi="Times New Roman" w:cs="Times New Roman"/>
          <w:sz w:val="24"/>
          <w:szCs w:val="24"/>
        </w:rPr>
        <w:t>Arbitrase</w:t>
      </w:r>
      <w:proofErr w:type="spellEnd"/>
      <w:r w:rsidRPr="00931270">
        <w:rPr>
          <w:rFonts w:ascii="Times New Roman" w:eastAsia="Calibri" w:hAnsi="Times New Roman" w:cs="Times New Roman"/>
          <w:sz w:val="24"/>
          <w:szCs w:val="24"/>
        </w:rPr>
        <w:t xml:space="preserve"> dan ADR.</w:t>
      </w:r>
    </w:p>
    <w:p w14:paraId="2F062719" w14:textId="31F6884C" w:rsidR="001A6275" w:rsidRPr="00931270" w:rsidRDefault="001A6A0A" w:rsidP="00931270">
      <w:pPr>
        <w:spacing w:line="360" w:lineRule="auto"/>
        <w:ind w:left="567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prinsipnya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praktek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sebenarnya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dijalankan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Negara-negara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menerapkan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ialah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Austria,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Jerman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Belgia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Perancis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Polandia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Slovenia, Canada, Amerika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Norwegia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Denmark, dan Finlandia.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Penal.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diskresi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aparat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musyawarah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perdamaian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permaafan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Praktek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perkara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formalnya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norma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kosong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informal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damai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diproses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31270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Pr="009312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4F9BEE" w14:textId="77777777" w:rsidR="00AB700C" w:rsidRDefault="00000000">
      <w:pPr>
        <w:spacing w:after="0" w:line="48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References</w:t>
      </w:r>
    </w:p>
    <w:p w14:paraId="16C1CBEA" w14:textId="59D7AB71" w:rsidR="00AB700C" w:rsidRDefault="00AB700C">
      <w:pPr>
        <w:tabs>
          <w:tab w:val="left" w:pos="371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B700C">
      <w:headerReference w:type="default" r:id="rId11"/>
      <w:footerReference w:type="default" r:id="rId12"/>
      <w:type w:val="continuous"/>
      <w:pgSz w:w="11906" w:h="16838"/>
      <w:pgMar w:top="1701" w:right="1416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55D3" w14:textId="77777777" w:rsidR="00ED26E7" w:rsidRDefault="00ED26E7">
      <w:pPr>
        <w:spacing w:after="0" w:line="240" w:lineRule="auto"/>
      </w:pPr>
      <w:r>
        <w:separator/>
      </w:r>
    </w:p>
  </w:endnote>
  <w:endnote w:type="continuationSeparator" w:id="0">
    <w:p w14:paraId="2BC2CB2E" w14:textId="77777777" w:rsidR="00ED26E7" w:rsidRDefault="00ED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6497" w14:textId="77777777" w:rsidR="00AB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Quattrocento Sans" w:eastAsia="Quattrocento Sans" w:hAnsi="Quattrocento Sans" w:cs="Quattrocento Sans"/>
        <w:color w:val="000000"/>
        <w:sz w:val="16"/>
        <w:szCs w:val="16"/>
      </w:rPr>
    </w:pPr>
    <w:r>
      <w:rPr>
        <w:rFonts w:ascii="Quattrocento Sans" w:eastAsia="Quattrocento Sans" w:hAnsi="Quattrocento Sans" w:cs="Quattrocento Sans"/>
        <w:color w:val="000000"/>
        <w:sz w:val="16"/>
        <w:szCs w:val="16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F2C8607" wp14:editId="3A1E727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39650" y="3865725"/>
                        <a:ext cx="61245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FDEB7EA" w14:textId="77777777" w:rsidR="00AB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000000"/>
        <w:sz w:val="16"/>
        <w:szCs w:val="16"/>
      </w:rPr>
    </w:pPr>
    <w:r>
      <w:rPr>
        <w:rFonts w:ascii="PT Sans" w:eastAsia="PT Sans" w:hAnsi="PT Sans" w:cs="PT Sans"/>
        <w:color w:val="000000"/>
        <w:sz w:val="16"/>
        <w:szCs w:val="16"/>
      </w:rPr>
      <w:t xml:space="preserve">*Corresponding author: </w:t>
    </w:r>
  </w:p>
  <w:p w14:paraId="2E427BA8" w14:textId="43171BFA" w:rsidR="00AB700C" w:rsidRPr="006379F4" w:rsidRDefault="006379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000000"/>
        <w:sz w:val="16"/>
        <w:szCs w:val="16"/>
      </w:rPr>
    </w:pPr>
    <w:proofErr w:type="spellStart"/>
    <w:r>
      <w:rPr>
        <w:rFonts w:ascii="PT Sans" w:eastAsia="PT Sans" w:hAnsi="PT Sans" w:cs="PT Sans"/>
        <w:b/>
        <w:color w:val="000000"/>
        <w:sz w:val="16"/>
        <w:szCs w:val="16"/>
      </w:rPr>
      <w:t>Memmy</w:t>
    </w:r>
    <w:proofErr w:type="spellEnd"/>
    <w:r>
      <w:rPr>
        <w:rFonts w:ascii="PT Sans" w:eastAsia="PT Sans" w:hAnsi="PT Sans" w:cs="PT Sans"/>
        <w:b/>
        <w:color w:val="000000"/>
        <w:sz w:val="16"/>
        <w:szCs w:val="16"/>
      </w:rPr>
      <w:t xml:space="preserve"> </w:t>
    </w:r>
    <w:proofErr w:type="spellStart"/>
    <w:r>
      <w:rPr>
        <w:rFonts w:ascii="PT Sans" w:eastAsia="PT Sans" w:hAnsi="PT Sans" w:cs="PT Sans"/>
        <w:b/>
        <w:color w:val="000000"/>
        <w:sz w:val="16"/>
        <w:szCs w:val="16"/>
      </w:rPr>
      <w:t>Fatiyanti</w:t>
    </w:r>
    <w:proofErr w:type="spellEnd"/>
    <w:r>
      <w:rPr>
        <w:rFonts w:ascii="PT Sans" w:eastAsia="PT Sans" w:hAnsi="PT Sans" w:cs="PT Sans"/>
        <w:b/>
        <w:color w:val="000000"/>
        <w:sz w:val="16"/>
        <w:szCs w:val="16"/>
      </w:rPr>
      <w:t xml:space="preserve"> Deri </w:t>
    </w:r>
    <w:proofErr w:type="spellStart"/>
    <w:r>
      <w:rPr>
        <w:rFonts w:ascii="PT Sans" w:eastAsia="PT Sans" w:hAnsi="PT Sans" w:cs="PT Sans"/>
        <w:b/>
        <w:color w:val="000000"/>
        <w:sz w:val="16"/>
        <w:szCs w:val="16"/>
      </w:rPr>
      <w:t>Ramdhany</w:t>
    </w:r>
    <w:proofErr w:type="spellEnd"/>
    <w:r w:rsidR="007C6995">
      <w:rPr>
        <w:rFonts w:ascii="PT Sans" w:eastAsia="PT Sans" w:hAnsi="PT Sans" w:cs="PT Sans"/>
        <w:color w:val="000000"/>
        <w:sz w:val="16"/>
        <w:szCs w:val="16"/>
      </w:rPr>
      <w:t xml:space="preserve"> (</w:t>
    </w:r>
    <w:r>
      <w:rPr>
        <w:rFonts w:ascii="PT Sans" w:eastAsia="PT Sans" w:hAnsi="PT Sans" w:cs="PT Sans"/>
        <w:color w:val="000000"/>
        <w:sz w:val="16"/>
        <w:szCs w:val="16"/>
      </w:rPr>
      <w:t>memmyfdr@gmail.com</w:t>
    </w:r>
    <w:r w:rsidR="007C6995">
      <w:rPr>
        <w:rFonts w:ascii="PT Sans" w:eastAsia="PT Sans" w:hAnsi="PT Sans" w:cs="PT Sans"/>
        <w:color w:val="000000"/>
        <w:sz w:val="16"/>
        <w:szCs w:val="16"/>
      </w:rPr>
      <w:t>)</w:t>
    </w:r>
  </w:p>
  <w:p w14:paraId="0B10EAA5" w14:textId="11E50149" w:rsidR="007C6995" w:rsidRPr="006379F4" w:rsidRDefault="006379F4" w:rsidP="006379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hAnsi="PT Sans"/>
        <w:sz w:val="16"/>
        <w:szCs w:val="16"/>
      </w:rPr>
    </w:pPr>
    <w:r w:rsidRPr="006379F4">
      <w:rPr>
        <w:rFonts w:ascii="PT Sans" w:hAnsi="PT Sans"/>
        <w:sz w:val="16"/>
        <w:szCs w:val="16"/>
      </w:rPr>
      <w:t xml:space="preserve">Jl. </w:t>
    </w:r>
    <w:proofErr w:type="spellStart"/>
    <w:r w:rsidRPr="006379F4">
      <w:rPr>
        <w:rFonts w:ascii="PT Sans" w:hAnsi="PT Sans"/>
        <w:sz w:val="16"/>
        <w:szCs w:val="16"/>
      </w:rPr>
      <w:t>Majapahit</w:t>
    </w:r>
    <w:proofErr w:type="spellEnd"/>
    <w:r w:rsidRPr="006379F4">
      <w:rPr>
        <w:rFonts w:ascii="PT Sans" w:hAnsi="PT Sans"/>
        <w:sz w:val="16"/>
        <w:szCs w:val="16"/>
      </w:rPr>
      <w:t xml:space="preserve"> No.62, </w:t>
    </w:r>
    <w:proofErr w:type="spellStart"/>
    <w:r w:rsidRPr="006379F4">
      <w:rPr>
        <w:rFonts w:ascii="PT Sans" w:hAnsi="PT Sans"/>
        <w:sz w:val="16"/>
        <w:szCs w:val="16"/>
      </w:rPr>
      <w:t>Gomong</w:t>
    </w:r>
    <w:proofErr w:type="spellEnd"/>
    <w:r w:rsidRPr="006379F4">
      <w:rPr>
        <w:rFonts w:ascii="PT Sans" w:hAnsi="PT Sans"/>
        <w:sz w:val="16"/>
        <w:szCs w:val="16"/>
      </w:rPr>
      <w:t xml:space="preserve">, </w:t>
    </w:r>
    <w:proofErr w:type="spellStart"/>
    <w:r w:rsidRPr="006379F4">
      <w:rPr>
        <w:rFonts w:ascii="PT Sans" w:hAnsi="PT Sans"/>
        <w:sz w:val="16"/>
        <w:szCs w:val="16"/>
      </w:rPr>
      <w:t>Kec</w:t>
    </w:r>
    <w:proofErr w:type="spellEnd"/>
    <w:r w:rsidRPr="006379F4">
      <w:rPr>
        <w:rFonts w:ascii="PT Sans" w:hAnsi="PT Sans"/>
        <w:sz w:val="16"/>
        <w:szCs w:val="16"/>
      </w:rPr>
      <w:t xml:space="preserve">. </w:t>
    </w:r>
    <w:proofErr w:type="spellStart"/>
    <w:r w:rsidRPr="006379F4">
      <w:rPr>
        <w:rFonts w:ascii="PT Sans" w:hAnsi="PT Sans"/>
        <w:sz w:val="16"/>
        <w:szCs w:val="16"/>
      </w:rPr>
      <w:t>Selaparang</w:t>
    </w:r>
    <w:proofErr w:type="spellEnd"/>
    <w:r w:rsidRPr="006379F4">
      <w:rPr>
        <w:rFonts w:ascii="PT Sans" w:hAnsi="PT Sans"/>
        <w:sz w:val="16"/>
        <w:szCs w:val="16"/>
      </w:rPr>
      <w:t xml:space="preserve">, Kota </w:t>
    </w:r>
    <w:proofErr w:type="spellStart"/>
    <w:r w:rsidRPr="006379F4">
      <w:rPr>
        <w:rFonts w:ascii="PT Sans" w:hAnsi="PT Sans"/>
        <w:sz w:val="16"/>
        <w:szCs w:val="16"/>
      </w:rPr>
      <w:t>Mataram</w:t>
    </w:r>
    <w:proofErr w:type="spellEnd"/>
    <w:r w:rsidRPr="006379F4">
      <w:rPr>
        <w:rFonts w:ascii="PT Sans" w:hAnsi="PT Sans"/>
        <w:sz w:val="16"/>
        <w:szCs w:val="16"/>
      </w:rPr>
      <w:t>, Nusa Tenggara Bar. 83115</w:t>
    </w:r>
  </w:p>
  <w:p w14:paraId="448B8FBC" w14:textId="0C0DDE2C" w:rsidR="00AB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000000"/>
        <w:sz w:val="16"/>
        <w:szCs w:val="16"/>
      </w:rPr>
    </w:pPr>
    <w:r>
      <w:rPr>
        <w:rFonts w:ascii="PT Sans" w:eastAsia="PT Sans" w:hAnsi="PT Sans" w:cs="PT Sans"/>
        <w:color w:val="000000"/>
        <w:sz w:val="16"/>
        <w:szCs w:val="16"/>
      </w:rPr>
      <w:t>(</w:t>
    </w:r>
    <w:r>
      <w:rPr>
        <w:rFonts w:ascii="PT Sans" w:eastAsia="PT Sans" w:hAnsi="PT Sans" w:cs="PT Sans"/>
        <w:i/>
        <w:color w:val="000000"/>
        <w:sz w:val="16"/>
        <w:szCs w:val="16"/>
      </w:rPr>
      <w:t>Note: only one author should be appointed as the corresponding author, who will handle correspondence at all stages of the publication process, as well as post-publication</w:t>
    </w:r>
    <w:r>
      <w:rPr>
        <w:rFonts w:ascii="PT Sans" w:eastAsia="PT Sans" w:hAnsi="PT Sans" w:cs="PT Sans"/>
        <w:color w:val="000000"/>
        <w:sz w:val="16"/>
        <w:szCs w:val="16"/>
      </w:rPr>
      <w:t>.)</w:t>
    </w:r>
  </w:p>
  <w:p w14:paraId="3915E847" w14:textId="77777777" w:rsidR="00AB700C" w:rsidRDefault="00AB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187CC27D" w14:textId="77777777" w:rsidR="00AB700C" w:rsidRDefault="00AB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53DEEF6" w14:textId="77777777" w:rsidR="00AB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750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E95" w14:textId="77777777" w:rsidR="00AB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32B07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4F9702ED" w14:textId="77777777" w:rsidR="00AB700C" w:rsidRDefault="00AB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3598" w14:textId="77777777" w:rsidR="00ED26E7" w:rsidRDefault="00ED26E7">
      <w:pPr>
        <w:spacing w:after="0" w:line="240" w:lineRule="auto"/>
      </w:pPr>
      <w:r>
        <w:separator/>
      </w:r>
    </w:p>
  </w:footnote>
  <w:footnote w:type="continuationSeparator" w:id="0">
    <w:p w14:paraId="75B304BA" w14:textId="77777777" w:rsidR="00ED26E7" w:rsidRDefault="00ED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A003" w14:textId="77777777" w:rsidR="00AB700C" w:rsidRDefault="00AB700C">
    <w:pPr>
      <w:spacing w:after="0" w:line="240" w:lineRule="auto"/>
      <w:rPr>
        <w:rFonts w:ascii="Calibri" w:eastAsia="Calibri" w:hAnsi="Calibri" w:cs="Calibri"/>
        <w:sz w:val="20"/>
        <w:szCs w:val="20"/>
      </w:rPr>
    </w:pPr>
  </w:p>
  <w:p w14:paraId="472D53AE" w14:textId="77777777" w:rsidR="00AB700C" w:rsidRDefault="00000000">
    <w:pPr>
      <w:spacing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Journal of Indonesia </w:t>
    </w:r>
    <w:proofErr w:type="spellStart"/>
    <w:r>
      <w:rPr>
        <w:rFonts w:ascii="Calibri" w:eastAsia="Calibri" w:hAnsi="Calibri" w:cs="Calibri"/>
        <w:sz w:val="20"/>
        <w:szCs w:val="20"/>
      </w:rPr>
      <w:t>Berdaya</w:t>
    </w:r>
    <w:proofErr w:type="spellEnd"/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  <w:t xml:space="preserve">        </w:t>
    </w:r>
    <w:r>
      <w:rPr>
        <w:rFonts w:ascii="Calibri" w:eastAsia="Calibri" w:hAnsi="Calibri" w:cs="Calibri"/>
        <w:sz w:val="20"/>
        <w:szCs w:val="20"/>
      </w:rPr>
      <w:tab/>
      <w:t xml:space="preserve"> Manuscript Submission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F40" w14:textId="77777777" w:rsidR="00AB700C" w:rsidRDefault="00000000">
    <w:pPr>
      <w:spacing w:after="0" w:line="240" w:lineRule="auto"/>
      <w:ind w:right="-4819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Journal of Indonesia </w:t>
    </w:r>
    <w:proofErr w:type="spellStart"/>
    <w:r>
      <w:rPr>
        <w:rFonts w:ascii="Calibri" w:eastAsia="Calibri" w:hAnsi="Calibri" w:cs="Calibri"/>
        <w:sz w:val="20"/>
        <w:szCs w:val="20"/>
      </w:rPr>
      <w:t>Berdaya</w:t>
    </w:r>
    <w:proofErr w:type="spellEnd"/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  <w:t>Manuscript Submission Template</w:t>
    </w:r>
  </w:p>
  <w:p w14:paraId="70928075" w14:textId="77777777" w:rsidR="00AB700C" w:rsidRDefault="00000000">
    <w:pPr>
      <w:tabs>
        <w:tab w:val="left" w:pos="6645"/>
      </w:tabs>
      <w:spacing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17E"/>
    <w:multiLevelType w:val="multilevel"/>
    <w:tmpl w:val="44968846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D6706"/>
    <w:multiLevelType w:val="hybridMultilevel"/>
    <w:tmpl w:val="66B466F2"/>
    <w:lvl w:ilvl="0" w:tplc="B1605364">
      <w:start w:val="1"/>
      <w:numFmt w:val="decimal"/>
      <w:lvlText w:val="%1."/>
      <w:lvlJc w:val="left"/>
      <w:pPr>
        <w:ind w:left="1768" w:hanging="360"/>
      </w:pPr>
      <w:rPr>
        <w:rFonts w:ascii="Tahoma" w:hAnsi="Tahoma" w:cs="Tahoma"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488" w:hanging="360"/>
      </w:pPr>
    </w:lvl>
    <w:lvl w:ilvl="2" w:tplc="3809001B" w:tentative="1">
      <w:start w:val="1"/>
      <w:numFmt w:val="lowerRoman"/>
      <w:lvlText w:val="%3."/>
      <w:lvlJc w:val="right"/>
      <w:pPr>
        <w:ind w:left="3208" w:hanging="180"/>
      </w:pPr>
    </w:lvl>
    <w:lvl w:ilvl="3" w:tplc="3809000F" w:tentative="1">
      <w:start w:val="1"/>
      <w:numFmt w:val="decimal"/>
      <w:lvlText w:val="%4."/>
      <w:lvlJc w:val="left"/>
      <w:pPr>
        <w:ind w:left="3928" w:hanging="360"/>
      </w:pPr>
    </w:lvl>
    <w:lvl w:ilvl="4" w:tplc="38090019" w:tentative="1">
      <w:start w:val="1"/>
      <w:numFmt w:val="lowerLetter"/>
      <w:lvlText w:val="%5."/>
      <w:lvlJc w:val="left"/>
      <w:pPr>
        <w:ind w:left="4648" w:hanging="360"/>
      </w:pPr>
    </w:lvl>
    <w:lvl w:ilvl="5" w:tplc="3809001B" w:tentative="1">
      <w:start w:val="1"/>
      <w:numFmt w:val="lowerRoman"/>
      <w:lvlText w:val="%6."/>
      <w:lvlJc w:val="right"/>
      <w:pPr>
        <w:ind w:left="5368" w:hanging="180"/>
      </w:pPr>
    </w:lvl>
    <w:lvl w:ilvl="6" w:tplc="3809000F" w:tentative="1">
      <w:start w:val="1"/>
      <w:numFmt w:val="decimal"/>
      <w:lvlText w:val="%7."/>
      <w:lvlJc w:val="left"/>
      <w:pPr>
        <w:ind w:left="6088" w:hanging="360"/>
      </w:pPr>
    </w:lvl>
    <w:lvl w:ilvl="7" w:tplc="38090019" w:tentative="1">
      <w:start w:val="1"/>
      <w:numFmt w:val="lowerLetter"/>
      <w:lvlText w:val="%8."/>
      <w:lvlJc w:val="left"/>
      <w:pPr>
        <w:ind w:left="6808" w:hanging="360"/>
      </w:pPr>
    </w:lvl>
    <w:lvl w:ilvl="8" w:tplc="3809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2" w15:restartNumberingAfterBreak="0">
    <w:nsid w:val="13F67E50"/>
    <w:multiLevelType w:val="hybridMultilevel"/>
    <w:tmpl w:val="17AEC3A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7A17B6"/>
    <w:multiLevelType w:val="hybridMultilevel"/>
    <w:tmpl w:val="23746F88"/>
    <w:lvl w:ilvl="0" w:tplc="23664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24F9"/>
    <w:multiLevelType w:val="hybridMultilevel"/>
    <w:tmpl w:val="63345D0E"/>
    <w:lvl w:ilvl="0" w:tplc="1B8066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60E268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C908A8"/>
    <w:multiLevelType w:val="multilevel"/>
    <w:tmpl w:val="9ED01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2033E03"/>
    <w:multiLevelType w:val="hybridMultilevel"/>
    <w:tmpl w:val="49129306"/>
    <w:lvl w:ilvl="0" w:tplc="B296D06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C46D7"/>
    <w:multiLevelType w:val="hybridMultilevel"/>
    <w:tmpl w:val="40F69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72BA"/>
    <w:multiLevelType w:val="hybridMultilevel"/>
    <w:tmpl w:val="789EB1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20E58"/>
    <w:multiLevelType w:val="multilevel"/>
    <w:tmpl w:val="013A83C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503817237">
    <w:abstractNumId w:val="0"/>
  </w:num>
  <w:num w:numId="2" w16cid:durableId="1384864401">
    <w:abstractNumId w:val="9"/>
  </w:num>
  <w:num w:numId="3" w16cid:durableId="396443595">
    <w:abstractNumId w:val="5"/>
  </w:num>
  <w:num w:numId="4" w16cid:durableId="1968003750">
    <w:abstractNumId w:val="3"/>
  </w:num>
  <w:num w:numId="5" w16cid:durableId="529152398">
    <w:abstractNumId w:val="4"/>
  </w:num>
  <w:num w:numId="6" w16cid:durableId="1273132026">
    <w:abstractNumId w:val="8"/>
  </w:num>
  <w:num w:numId="7" w16cid:durableId="1419866537">
    <w:abstractNumId w:val="7"/>
  </w:num>
  <w:num w:numId="8" w16cid:durableId="609165163">
    <w:abstractNumId w:val="6"/>
  </w:num>
  <w:num w:numId="9" w16cid:durableId="1362246562">
    <w:abstractNumId w:val="2"/>
  </w:num>
  <w:num w:numId="10" w16cid:durableId="66243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0C"/>
    <w:rsid w:val="001A6275"/>
    <w:rsid w:val="001A6A0A"/>
    <w:rsid w:val="001C33AF"/>
    <w:rsid w:val="0043250F"/>
    <w:rsid w:val="004A378B"/>
    <w:rsid w:val="0053264F"/>
    <w:rsid w:val="0053278D"/>
    <w:rsid w:val="0055279C"/>
    <w:rsid w:val="0055500A"/>
    <w:rsid w:val="00632B07"/>
    <w:rsid w:val="006379F4"/>
    <w:rsid w:val="006F5C92"/>
    <w:rsid w:val="0072113B"/>
    <w:rsid w:val="007C6995"/>
    <w:rsid w:val="0087234F"/>
    <w:rsid w:val="008918FD"/>
    <w:rsid w:val="00931270"/>
    <w:rsid w:val="00AB700C"/>
    <w:rsid w:val="00B92AE5"/>
    <w:rsid w:val="00D96CE8"/>
    <w:rsid w:val="00E21C95"/>
    <w:rsid w:val="00E66B4C"/>
    <w:rsid w:val="00E855AC"/>
    <w:rsid w:val="00EC1434"/>
    <w:rsid w:val="00ED26E7"/>
    <w:rsid w:val="00F82B34"/>
    <w:rsid w:val="00FB0323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4130C"/>
  <w15:docId w15:val="{60BA115C-944E-5F44-B98A-8C995FF9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52"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F52"/>
    <w:pPr>
      <w:keepNext/>
      <w:keepLines/>
      <w:numPr>
        <w:numId w:val="1"/>
      </w:numPr>
      <w:spacing w:before="240" w:after="0"/>
      <w:outlineLvl w:val="0"/>
    </w:pPr>
    <w:rPr>
      <w:rFonts w:ascii="PT Serif" w:eastAsiaTheme="majorEastAsia" w:hAnsi="PT Serif" w:cstheme="majorBidi"/>
      <w:b/>
      <w:color w:val="2E74B5" w:themeColor="accent1" w:themeShade="BF"/>
      <w:sz w:val="2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72F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E72F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72F5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72F52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E72F52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72F52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E7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72F52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E72F52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E72F52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E72F52"/>
  </w:style>
  <w:style w:type="character" w:styleId="Strong">
    <w:name w:val="Strong"/>
    <w:basedOn w:val="DefaultParagraphFont"/>
    <w:uiPriority w:val="22"/>
    <w:qFormat/>
    <w:rsid w:val="00E72F52"/>
    <w:rPr>
      <w:b/>
      <w:bCs/>
    </w:rPr>
  </w:style>
  <w:style w:type="table" w:styleId="TableGrid">
    <w:name w:val="Table Grid"/>
    <w:basedOn w:val="TableNormal"/>
    <w:uiPriority w:val="39"/>
    <w:qFormat/>
    <w:rsid w:val="00E7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E72F52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72F52"/>
    <w:rPr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E72F52"/>
    <w:rPr>
      <w:color w:val="808080"/>
    </w:rPr>
  </w:style>
  <w:style w:type="paragraph" w:styleId="ListParagraph">
    <w:name w:val="List Paragraph"/>
    <w:aliases w:val="Body of text,List Paragraph1,Medium Grid 1 - Accent 21,Body of text+1,Body of text+2,Body of text+3,List Paragraph11,[1] DSDM_LAMP_TTL"/>
    <w:basedOn w:val="Normal"/>
    <w:link w:val="ListParagraphChar"/>
    <w:uiPriority w:val="34"/>
    <w:qFormat/>
    <w:rsid w:val="00E72F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E72F52"/>
    <w:rPr>
      <w:rFonts w:ascii="PT Serif" w:eastAsiaTheme="majorEastAsia" w:hAnsi="PT Serif" w:cstheme="majorBidi"/>
      <w:b/>
      <w:color w:val="2E74B5" w:themeColor="accent1" w:themeShade="BF"/>
      <w:sz w:val="20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72F52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72F52"/>
    <w:rPr>
      <w:rFonts w:ascii="Segoe UI" w:hAnsi="Segoe UI" w:cs="Segoe UI"/>
      <w:sz w:val="18"/>
      <w:szCs w:val="18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72F52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72F52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8918F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C6995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[1] DSDM_LAMP_TTL Char"/>
    <w:link w:val="ListParagraph"/>
    <w:uiPriority w:val="1"/>
    <w:rsid w:val="006379F4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1A6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6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7g993etBw6OgTwP4Fu46iYP9w==">AMUW2mXP6ea9lRTcupLSAIEu5OcpqS9oDnkTKHqxWxlMNC2sZ2UeRf/dOxyhgwnbl+RSfPV62ITOEbC5/3NvowwUhgvh5KRuxhsSPkZfRnU9dx6wjvUNohhdbDGlTfImeNM/qnygxoHYw1TwIStowlm1QyoWHMk6Sn/Cf5ghzYcDM99Ohm/TD8ekb1I767PJ7oi/kMWCjqGU6WDT0ER62PTiTlW1u8iroA5/kyB7ylY/GWvbNs669e1fMPukAV4EXahMH8/4fGLBiY+aTIHBkfGh3dQ3X0isfFsEDdByu2m0Do31vDjgdL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A21FD6-E18C-F740-821B-D96166E0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4904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2023-05-17T01:45:00Z</dcterms:created>
  <dcterms:modified xsi:type="dcterms:W3CDTF">2023-05-17T01:45:00Z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640e92b6-e511-38c9-8faa-db01b83d196f</vt:lpwstr>
  </property>
  <property fmtid="{D5CDD505-2E9C-101B-9397-08002B2CF9AE}" pid="25" name="Mendeley Citation Style_1">
    <vt:lpwstr>http://www.zotero.org/styles/apa</vt:lpwstr>
  </property>
</Properties>
</file>